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sz w:val="32"/>
          <w:szCs w:val="32"/>
        </w:rPr>
      </w:pPr>
      <w:r w:rsidDel="00000000" w:rsidR="00000000" w:rsidRPr="00000000">
        <w:rPr>
          <w:rtl w:val="0"/>
        </w:rPr>
        <w:t xml:space="preserve">Pupil Premium Strategy Heacham Infant and Preschool </w:t>
      </w:r>
      <w:r w:rsidDel="00000000" w:rsidR="00000000" w:rsidRPr="00000000">
        <w:rPr/>
        <w:drawing>
          <wp:inline distB="114300" distT="114300" distL="114300" distR="114300">
            <wp:extent cx="663915" cy="663915"/>
            <wp:effectExtent b="0" l="0" r="0" t="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663915" cy="663915"/>
                    </a:xfrm>
                    <a:prstGeom prst="rect"/>
                    <a:ln/>
                  </pic:spPr>
                </pic:pic>
              </a:graphicData>
            </a:graphic>
          </wp:inline>
        </w:drawing>
      </w:r>
      <w:r w:rsidDel="00000000" w:rsidR="00000000" w:rsidRPr="00000000">
        <w:rPr>
          <w:sz w:val="32"/>
          <w:szCs w:val="32"/>
          <w:rtl w:val="0"/>
        </w:rPr>
        <w:t xml:space="preserve">Review of outcomes </w:t>
      </w:r>
      <w:r w:rsidDel="00000000" w:rsidR="00000000" w:rsidRPr="00000000">
        <w:rPr>
          <w:rtl w:val="0"/>
        </w:rPr>
        <w:t xml:space="preserve">2025-26</w:t>
      </w:r>
      <w:r w:rsidDel="00000000" w:rsidR="00000000" w:rsidRPr="00000000">
        <w:rPr>
          <w:rtl w:val="0"/>
        </w:rPr>
      </w:r>
    </w:p>
    <w:p w:rsidR="00000000" w:rsidDel="00000000" w:rsidP="00000000" w:rsidRDefault="00000000" w:rsidRPr="00000000" w14:paraId="00000002">
      <w:pPr>
        <w:rPr>
          <w:color w:val="ff0000"/>
        </w:rPr>
      </w:pPr>
      <w:r w:rsidDel="00000000" w:rsidR="00000000" w:rsidRPr="00000000">
        <w:rPr>
          <w:rtl w:val="0"/>
        </w:rPr>
        <w:t xml:space="preserve">This details the impact that our pupil premium activity had on pupils in the 2025 to 2026 academic year. </w:t>
      </w:r>
      <w:r w:rsidDel="00000000" w:rsidR="00000000" w:rsidRPr="00000000">
        <w:rPr>
          <w:rtl w:val="0"/>
        </w:rPr>
      </w:r>
    </w:p>
    <w:tbl>
      <w:tblPr>
        <w:tblStyle w:val="Table1"/>
        <w:tblW w:w="9776.0" w:type="dxa"/>
        <w:jc w:val="left"/>
        <w:tblLayout w:type="fixed"/>
        <w:tblLook w:val="0400"/>
      </w:tblPr>
      <w:tblGrid>
        <w:gridCol w:w="9776"/>
        <w:tblGridChange w:id="0">
          <w:tblGrid>
            <w:gridCol w:w="9776"/>
          </w:tblGrid>
        </w:tblGridChange>
      </w:tblGrid>
      <w:tr>
        <w:trPr>
          <w:cantSplit w:val="0"/>
          <w:trHeight w:val="1102"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03">
            <w:pPr>
              <w:widowControl w:val="0"/>
              <w:tabs>
                <w:tab w:val="left" w:leader="none" w:pos="0"/>
              </w:tabs>
              <w:spacing w:after="0" w:line="240" w:lineRule="auto"/>
              <w:rPr>
                <w:b w:val="1"/>
                <w:bCs w:val="1"/>
              </w:rPr>
            </w:pPr>
            <w:r w:rsidDel="00000000" w:rsidR="00000000" w:rsidRPr="00000000">
              <w:rPr>
                <w:b w:val="1"/>
                <w:bCs w:val="1"/>
                <w:rtl w:val="0"/>
              </w:rPr>
              <w:t xml:space="preserve">Children to achieve national expectations in progress and attainment </w:t>
            </w:r>
          </w:p>
          <w:p w:rsidR="00000000" w:rsidDel="00000000" w:rsidP="00000000" w:rsidRDefault="00000000" w:rsidRPr="00000000" w14:paraId="00000004">
            <w:pPr>
              <w:widowControl w:val="0"/>
              <w:tabs>
                <w:tab w:val="left" w:leader="none" w:pos="0"/>
              </w:tabs>
              <w:spacing w:after="0" w:line="240" w:lineRule="auto"/>
              <w:rPr>
                <w:b w:val="1"/>
                <w:bCs w:val="1"/>
              </w:rPr>
            </w:pPr>
            <w:r w:rsidDel="00000000" w:rsidR="00000000" w:rsidRPr="00000000">
              <w:rPr>
                <w:rtl w:val="0"/>
              </w:rPr>
            </w:r>
          </w:p>
          <w:p w:rsidR="00000000" w:rsidDel="00000000" w:rsidP="00000000" w:rsidRDefault="00000000" w:rsidRPr="00000000" w14:paraId="00000005">
            <w:pPr>
              <w:widowControl w:val="0"/>
              <w:tabs>
                <w:tab w:val="left" w:leader="none" w:pos="0"/>
              </w:tabs>
              <w:spacing w:after="0" w:line="240" w:lineRule="auto"/>
              <w:rPr>
                <w:b w:val="1"/>
                <w:bCs w:val="1"/>
              </w:rPr>
            </w:pPr>
            <w:r w:rsidDel="00000000" w:rsidR="00000000" w:rsidRPr="00000000">
              <w:rPr>
                <w:b w:val="1"/>
                <w:bCs w:val="1"/>
                <w:rtl w:val="0"/>
              </w:rPr>
              <w:t xml:space="preserve">EYFS  </w:t>
            </w:r>
          </w:p>
          <w:p w:rsidR="00000000" w:rsidDel="00000000" w:rsidP="00000000" w:rsidRDefault="00000000" w:rsidRPr="00000000" w14:paraId="00000006">
            <w:pPr>
              <w:widowControl w:val="0"/>
              <w:tabs>
                <w:tab w:val="left" w:leader="none" w:pos="0"/>
              </w:tabs>
              <w:spacing w:after="0" w:line="240" w:lineRule="auto"/>
              <w:rPr/>
            </w:pPr>
            <w:r w:rsidDel="00000000" w:rsidR="00000000" w:rsidRPr="00000000">
              <w:rPr>
                <w:rtl w:val="0"/>
              </w:rPr>
              <w:t xml:space="preserve">In Reception, the final Good Level Of Development was 71.4% with 14.4 ELG at Expected for every child. This is in line with National Outcomes, a slight drop from 2025 but cohort context means when outlying pupils are removed data is in line with National Averages </w:t>
            </w:r>
          </w:p>
          <w:p w:rsidR="00000000" w:rsidDel="00000000" w:rsidP="00000000" w:rsidRDefault="00000000" w:rsidRPr="00000000" w14:paraId="00000007">
            <w:pPr>
              <w:widowControl w:val="0"/>
              <w:tabs>
                <w:tab w:val="left" w:leader="none" w:pos="0"/>
              </w:tabs>
              <w:spacing w:after="0" w:line="240" w:lineRule="auto"/>
              <w:rPr/>
            </w:pPr>
            <w:r w:rsidDel="00000000" w:rsidR="00000000" w:rsidRPr="00000000">
              <w:rPr>
                <w:rtl w:val="0"/>
              </w:rPr>
              <w:t xml:space="preserve">Disadvantaged outcomes are 5/7 attained a GLD which is 71.4%. </w:t>
            </w:r>
          </w:p>
          <w:p w:rsidR="00000000" w:rsidDel="00000000" w:rsidP="00000000" w:rsidRDefault="00000000" w:rsidRPr="00000000" w14:paraId="00000008">
            <w:pPr>
              <w:widowControl w:val="0"/>
              <w:tabs>
                <w:tab w:val="left" w:leader="none" w:pos="0"/>
              </w:tabs>
              <w:spacing w:after="0" w:line="240" w:lineRule="auto"/>
              <w:rPr>
                <w:b w:val="1"/>
                <w:bCs w:val="1"/>
              </w:rPr>
            </w:pPr>
            <w:r w:rsidDel="00000000" w:rsidR="00000000" w:rsidRPr="00000000">
              <w:rPr>
                <w:rtl w:val="0"/>
              </w:rPr>
            </w:r>
          </w:p>
          <w:p w:rsidR="00000000" w:rsidDel="00000000" w:rsidP="00000000" w:rsidRDefault="00000000" w:rsidRPr="00000000" w14:paraId="00000009">
            <w:pPr>
              <w:widowControl w:val="0"/>
              <w:tabs>
                <w:tab w:val="left" w:leader="none" w:pos="0"/>
              </w:tabs>
              <w:spacing w:after="0" w:line="240" w:lineRule="auto"/>
              <w:rPr>
                <w:b w:val="1"/>
                <w:bCs w:val="1"/>
              </w:rPr>
            </w:pPr>
            <w:r w:rsidDel="00000000" w:rsidR="00000000" w:rsidRPr="00000000">
              <w:rPr>
                <w:b w:val="1"/>
                <w:bCs w:val="1"/>
                <w:rtl w:val="0"/>
              </w:rPr>
              <w:t xml:space="preserve">PSC </w:t>
            </w:r>
          </w:p>
          <w:p w:rsidR="00000000" w:rsidDel="00000000" w:rsidP="00000000" w:rsidRDefault="00000000" w:rsidRPr="00000000" w14:paraId="0000000A">
            <w:pPr>
              <w:widowControl w:val="0"/>
              <w:tabs>
                <w:tab w:val="left" w:leader="none" w:pos="0"/>
              </w:tabs>
              <w:spacing w:after="0" w:line="240" w:lineRule="auto"/>
              <w:rPr/>
            </w:pPr>
            <w:r w:rsidDel="00000000" w:rsidR="00000000" w:rsidRPr="00000000">
              <w:rPr>
                <w:rtl w:val="0"/>
              </w:rPr>
              <w:t xml:space="preserve">In Y1 the Phonic score check is 84% which has increased since 2025 and is just above national average at 82%. In Y1, Disadvantaged outcomes show 5 out of 6 children attained a pass which is 83%. </w:t>
            </w:r>
          </w:p>
          <w:p w:rsidR="00000000" w:rsidDel="00000000" w:rsidP="00000000" w:rsidRDefault="00000000" w:rsidRPr="00000000" w14:paraId="0000000B">
            <w:pPr>
              <w:widowControl w:val="0"/>
              <w:tabs>
                <w:tab w:val="left" w:leader="none" w:pos="0"/>
              </w:tabs>
              <w:spacing w:after="0" w:line="240" w:lineRule="auto"/>
              <w:rPr/>
            </w:pPr>
            <w:r w:rsidDel="00000000" w:rsidR="00000000" w:rsidRPr="00000000">
              <w:rPr>
                <w:rtl w:val="0"/>
              </w:rPr>
            </w:r>
          </w:p>
          <w:p w:rsidR="00000000" w:rsidDel="00000000" w:rsidP="00000000" w:rsidRDefault="00000000" w:rsidRPr="00000000" w14:paraId="0000000C">
            <w:pPr>
              <w:widowControl w:val="0"/>
              <w:tabs>
                <w:tab w:val="left" w:leader="none" w:pos="0"/>
              </w:tabs>
              <w:spacing w:after="0" w:line="240" w:lineRule="auto"/>
              <w:rPr/>
            </w:pPr>
            <w:r w:rsidDel="00000000" w:rsidR="00000000" w:rsidRPr="00000000">
              <w:rPr>
                <w:rtl w:val="0"/>
              </w:rPr>
              <w:t xml:space="preserve">In Y2 the PSC was below average at 40% which is 2 out of 5 passing in Year 2 ( NA 52%) with a context related to individual cohort need. These 5 pupils were all disadvantaged with a high need cohort. The three who have not passed - 1 has been placed at special school and 2 more continue to increase early reading in KS2 with continued RWI phonic teaching and reading practise. </w:t>
            </w:r>
          </w:p>
          <w:p w:rsidR="00000000" w:rsidDel="00000000" w:rsidP="00000000" w:rsidRDefault="00000000" w:rsidRPr="00000000" w14:paraId="0000000D">
            <w:pPr>
              <w:widowControl w:val="0"/>
              <w:tabs>
                <w:tab w:val="left" w:leader="none" w:pos="0"/>
              </w:tabs>
              <w:spacing w:after="0" w:line="240" w:lineRule="auto"/>
              <w:rPr/>
            </w:pPr>
            <w:r w:rsidDel="00000000" w:rsidR="00000000" w:rsidRPr="00000000">
              <w:rPr>
                <w:rtl w:val="0"/>
              </w:rPr>
            </w:r>
          </w:p>
          <w:p w:rsidR="00000000" w:rsidDel="00000000" w:rsidP="00000000" w:rsidRDefault="00000000" w:rsidRPr="00000000" w14:paraId="0000000E">
            <w:pPr>
              <w:widowControl w:val="0"/>
              <w:tabs>
                <w:tab w:val="left" w:leader="none" w:pos="0"/>
              </w:tabs>
              <w:spacing w:after="0" w:line="240" w:lineRule="auto"/>
              <w:rPr>
                <w:color w:val="000000"/>
              </w:rPr>
            </w:pPr>
            <w:r w:rsidDel="00000000" w:rsidR="00000000" w:rsidRPr="00000000">
              <w:rPr>
                <w:color w:val="000000"/>
                <w:rtl w:val="0"/>
              </w:rPr>
              <w:t xml:space="preserve">Leaders remain resolute in continuing to raise standards for all pupils through rigorous monitoring and high expectations, regardless of disadvantage. </w:t>
            </w:r>
          </w:p>
          <w:p w:rsidR="00000000" w:rsidDel="00000000" w:rsidP="00000000" w:rsidRDefault="00000000" w:rsidRPr="00000000" w14:paraId="0000000F">
            <w:pPr>
              <w:spacing w:after="60" w:before="60" w:line="240" w:lineRule="auto"/>
              <w:ind w:right="57"/>
              <w:rPr>
                <w:color w:val="00b050"/>
                <w:sz w:val="20"/>
                <w:szCs w:val="20"/>
              </w:rPr>
            </w:pPr>
            <w:r w:rsidDel="00000000" w:rsidR="00000000" w:rsidRPr="00000000">
              <w:rPr>
                <w:rtl w:val="0"/>
              </w:rPr>
            </w:r>
          </w:p>
          <w:p w:rsidR="00000000" w:rsidDel="00000000" w:rsidP="00000000" w:rsidRDefault="00000000" w:rsidRPr="00000000" w14:paraId="00000010">
            <w:pPr>
              <w:spacing w:after="60" w:before="60" w:line="240" w:lineRule="auto"/>
              <w:ind w:right="57"/>
              <w:rPr>
                <w:color w:val="000000"/>
              </w:rPr>
            </w:pPr>
            <w:r w:rsidDel="00000000" w:rsidR="00000000" w:rsidRPr="00000000">
              <w:rPr>
                <w:color w:val="000000"/>
                <w:rtl w:val="0"/>
              </w:rPr>
              <w:t xml:space="preserve">Next Steps:</w:t>
            </w:r>
          </w:p>
          <w:p w:rsidR="00000000" w:rsidDel="00000000" w:rsidP="00000000" w:rsidRDefault="00000000" w:rsidRPr="00000000" w14:paraId="00000011">
            <w:pPr>
              <w:numPr>
                <w:ilvl w:val="0"/>
                <w:numId w:val="1"/>
              </w:numPr>
              <w:spacing w:after="60" w:before="60" w:line="240" w:lineRule="auto"/>
              <w:ind w:left="720" w:right="57" w:hanging="360"/>
              <w:rPr>
                <w:color w:val="000000"/>
              </w:rPr>
            </w:pPr>
            <w:r w:rsidDel="00000000" w:rsidR="00000000" w:rsidRPr="00000000">
              <w:rPr>
                <w:color w:val="000000"/>
                <w:rtl w:val="0"/>
              </w:rPr>
              <w:t xml:space="preserve">Monitor new systems for assessing reading ages and use this to provide targeted intervention and support. Continue to target effectively those children from day 1 using RWI to develop confident decoding and sight recognition of phonemes to read words fluently. </w:t>
            </w:r>
          </w:p>
          <w:p w:rsidR="00000000" w:rsidDel="00000000" w:rsidP="00000000" w:rsidRDefault="00000000" w:rsidRPr="00000000" w14:paraId="00000012">
            <w:pPr>
              <w:numPr>
                <w:ilvl w:val="0"/>
                <w:numId w:val="1"/>
              </w:numPr>
              <w:spacing w:after="60" w:before="60" w:line="240" w:lineRule="auto"/>
              <w:ind w:left="720" w:right="57" w:hanging="360"/>
              <w:rPr>
                <w:color w:val="000000"/>
              </w:rPr>
            </w:pPr>
            <w:r w:rsidDel="00000000" w:rsidR="00000000" w:rsidRPr="00000000">
              <w:rPr>
                <w:color w:val="000000"/>
                <w:rtl w:val="0"/>
              </w:rPr>
              <w:t xml:space="preserve">Increase the GLD above 75% in line with DFE expectations for cohort 26-27 with quality interactions, targeted support and focus on vocabulary and self regulation. </w:t>
            </w:r>
          </w:p>
          <w:p w:rsidR="00000000" w:rsidDel="00000000" w:rsidP="00000000" w:rsidRDefault="00000000" w:rsidRPr="00000000" w14:paraId="00000013">
            <w:pPr>
              <w:numPr>
                <w:ilvl w:val="0"/>
                <w:numId w:val="1"/>
              </w:numPr>
              <w:spacing w:after="60" w:before="60" w:line="240" w:lineRule="auto"/>
              <w:ind w:left="720" w:right="57" w:hanging="360"/>
              <w:rPr>
                <w:color w:val="000000"/>
              </w:rPr>
            </w:pPr>
            <w:r w:rsidDel="00000000" w:rsidR="00000000" w:rsidRPr="00000000">
              <w:rPr>
                <w:color w:val="000000"/>
                <w:rtl w:val="0"/>
              </w:rPr>
              <w:t xml:space="preserve">Develop wellbeing, belonging and self-confidence by establishing a reading routine that fosters joy, peer connection and confidence through shared storytelling and personalised book choices. </w:t>
            </w:r>
          </w:p>
          <w:p w:rsidR="00000000" w:rsidDel="00000000" w:rsidP="00000000" w:rsidRDefault="00000000" w:rsidRPr="00000000" w14:paraId="00000014">
            <w:pPr>
              <w:numPr>
                <w:ilvl w:val="0"/>
                <w:numId w:val="1"/>
              </w:numPr>
              <w:spacing w:after="60" w:before="60" w:line="240" w:lineRule="auto"/>
              <w:ind w:left="720" w:right="57" w:hanging="360"/>
              <w:rPr>
                <w:color w:val="000000"/>
              </w:rPr>
            </w:pPr>
            <w:bookmarkStart w:colFirst="0" w:colLast="0" w:name="_heading=h.rrd8tg11pdoq" w:id="0"/>
            <w:bookmarkEnd w:id="0"/>
            <w:r w:rsidDel="00000000" w:rsidR="00000000" w:rsidRPr="00000000">
              <w:rPr>
                <w:color w:val="222222"/>
                <w:highlight w:val="white"/>
                <w:rtl w:val="0"/>
              </w:rPr>
              <w:t xml:space="preserve">Improving attendance for all pupils, particularly those with additional needs is a continuing priority. </w:t>
            </w:r>
            <w:r w:rsidDel="00000000" w:rsidR="00000000" w:rsidRPr="00000000">
              <w:rPr>
                <w:color w:val="000000"/>
                <w:rtl w:val="0"/>
              </w:rPr>
              <w:t xml:space="preserve">Aim to maintain improved PP attendance in line with our ABIE target taken from the similar schools report - 96% </w:t>
            </w:r>
          </w:p>
          <w:p w:rsidR="00000000" w:rsidDel="00000000" w:rsidP="00000000" w:rsidRDefault="00000000" w:rsidRPr="00000000" w14:paraId="00000015">
            <w:pPr>
              <w:spacing w:after="60" w:before="60" w:line="240" w:lineRule="auto"/>
              <w:ind w:right="57"/>
              <w:rPr>
                <w:color w:val="000000"/>
              </w:rPr>
            </w:pPr>
            <w:r w:rsidDel="00000000" w:rsidR="00000000" w:rsidRPr="00000000">
              <w:rPr>
                <w:b w:val="1"/>
                <w:bCs w:val="1"/>
                <w:rtl w:val="0"/>
              </w:rPr>
              <w:t xml:space="preserve">Children have access to wider opportunities - </w:t>
            </w:r>
            <w:r w:rsidDel="00000000" w:rsidR="00000000" w:rsidRPr="00000000">
              <w:rPr>
                <w:color w:val="000000"/>
                <w:rtl w:val="0"/>
              </w:rPr>
              <w:t xml:space="preserve">Pupils had access to a range of wider opportunities this academic year including: Y2 swimming lessons, whole-school Sports Day, </w:t>
            </w:r>
            <w:r w:rsidDel="00000000" w:rsidR="00000000" w:rsidRPr="00000000">
              <w:rPr>
                <w:rtl w:val="0"/>
              </w:rPr>
              <w:t xml:space="preserve">Sports Council (including SSP meetings), Trust sports events such as dance festival, KS1 sports festivals and cluster competition events. </w:t>
            </w:r>
            <w:r w:rsidDel="00000000" w:rsidR="00000000" w:rsidRPr="00000000">
              <w:rPr>
                <w:rtl w:val="0"/>
              </w:rPr>
            </w:r>
          </w:p>
          <w:p w:rsidR="00000000" w:rsidDel="00000000" w:rsidP="00000000" w:rsidRDefault="00000000" w:rsidRPr="00000000" w14:paraId="00000016">
            <w:pPr>
              <w:spacing w:after="0" w:line="240" w:lineRule="auto"/>
              <w:rPr>
                <w:color w:val="000000"/>
              </w:rPr>
            </w:pPr>
            <w:r w:rsidDel="00000000" w:rsidR="00000000" w:rsidRPr="00000000">
              <w:rPr>
                <w:rtl w:val="0"/>
              </w:rPr>
              <w:t xml:space="preserve">Life Skills taught have included: </w:t>
            </w:r>
            <w:r w:rsidDel="00000000" w:rsidR="00000000" w:rsidRPr="00000000">
              <w:rPr>
                <w:color w:val="000000"/>
                <w:rtl w:val="0"/>
              </w:rPr>
              <w:t xml:space="preserve">crossing the road safely, getting socks, tights and shoes on, making a sandwich and pouring drinks, using a knife and fork. </w:t>
            </w:r>
          </w:p>
          <w:p w:rsidR="00000000" w:rsidDel="00000000" w:rsidP="00000000" w:rsidRDefault="00000000" w:rsidRPr="00000000" w14:paraId="00000017">
            <w:pPr>
              <w:spacing w:after="0" w:line="240" w:lineRule="auto"/>
              <w:rPr>
                <w:color w:val="000000"/>
              </w:rPr>
            </w:pPr>
            <w:r w:rsidDel="00000000" w:rsidR="00000000" w:rsidRPr="00000000">
              <w:rPr>
                <w:rtl w:val="0"/>
              </w:rPr>
            </w:r>
          </w:p>
          <w:p w:rsidR="00000000" w:rsidDel="00000000" w:rsidP="00000000" w:rsidRDefault="00000000" w:rsidRPr="00000000" w14:paraId="00000018">
            <w:pPr>
              <w:spacing w:after="0" w:line="240" w:lineRule="auto"/>
              <w:rPr>
                <w:color w:val="000000"/>
              </w:rPr>
            </w:pPr>
            <w:r w:rsidDel="00000000" w:rsidR="00000000" w:rsidRPr="00000000">
              <w:rPr>
                <w:color w:val="000000"/>
                <w:rtl w:val="0"/>
              </w:rPr>
              <w:t xml:space="preserve">Trips and visitors have included: </w:t>
            </w:r>
          </w:p>
          <w:p w:rsidR="00000000" w:rsidDel="00000000" w:rsidP="00000000" w:rsidRDefault="00000000" w:rsidRPr="00000000" w14:paraId="00000019">
            <w:pPr>
              <w:spacing w:after="0" w:line="240" w:lineRule="auto"/>
              <w:rPr>
                <w:color w:val="000000"/>
              </w:rPr>
            </w:pPr>
            <w:r w:rsidDel="00000000" w:rsidR="00000000" w:rsidRPr="00000000">
              <w:rPr>
                <w:color w:val="000000"/>
                <w:rtl w:val="0"/>
              </w:rPr>
              <w:t xml:space="preserve">Reverend Wilson, trips to St Marys Church, Hunstanton RNLI, Speak safe NSPCC, Zoo Lab, Police, visits to Sandringham, walks in local area, Digital Warriors Mr Kirwan from HJS.                                                                                                                           Assemblies have included: </w:t>
            </w:r>
          </w:p>
          <w:p w:rsidR="00000000" w:rsidDel="00000000" w:rsidP="00000000" w:rsidRDefault="00000000" w:rsidRPr="00000000" w14:paraId="0000001A">
            <w:pPr>
              <w:spacing w:after="0" w:line="240" w:lineRule="auto"/>
              <w:rPr>
                <w:color w:val="000000"/>
              </w:rPr>
            </w:pPr>
            <w:r w:rsidDel="00000000" w:rsidR="00000000" w:rsidRPr="00000000">
              <w:rPr>
                <w:color w:val="000000"/>
                <w:rtl w:val="0"/>
              </w:rPr>
              <w:t xml:space="preserve">Celebration assemblies and singing assemblies. Some assemblies have been taken from the Enrichment Map and have included: International Peace Day, World Animal Day, World Smile Day, World Kindness Day, Bonfire Night, Remembrance, Universal Children’s Day, Go Green Week and Safer Internet Day. These have been complimented by No Outsiders assemblies in class which are weekly.                                                                                                           Trust/school events and workshops have included: </w:t>
            </w:r>
          </w:p>
          <w:p w:rsidR="00000000" w:rsidDel="00000000" w:rsidP="00000000" w:rsidRDefault="00000000" w:rsidRPr="00000000" w14:paraId="0000001B">
            <w:pPr>
              <w:spacing w:after="0" w:line="240" w:lineRule="auto"/>
              <w:rPr>
                <w:color w:val="000000"/>
              </w:rPr>
            </w:pPr>
            <w:r w:rsidDel="00000000" w:rsidR="00000000" w:rsidRPr="00000000">
              <w:rPr>
                <w:color w:val="000000"/>
                <w:rtl w:val="0"/>
              </w:rPr>
              <w:t xml:space="preserve">Mental Health Week, West Norfolk Academies Trust Summer Music Concert, World Book Day, Dance Festival, Apprenticeship Day and the KS1 Spelling Bee.   </w:t>
            </w:r>
          </w:p>
          <w:p w:rsidR="00000000" w:rsidDel="00000000" w:rsidP="00000000" w:rsidRDefault="00000000" w:rsidRPr="00000000" w14:paraId="0000001C">
            <w:pPr>
              <w:spacing w:after="0" w:line="240" w:lineRule="auto"/>
              <w:rPr>
                <w:color w:val="000000"/>
              </w:rPr>
            </w:pPr>
            <w:r w:rsidDel="00000000" w:rsidR="00000000" w:rsidRPr="00000000">
              <w:rPr>
                <w:color w:val="000000"/>
                <w:rtl w:val="0"/>
              </w:rPr>
              <w:t xml:space="preserve">Fundraisers have included: Christmas Jumper Day, Red Nose Day, Hello Yellow and our annual Christmas fair.</w:t>
            </w:r>
          </w:p>
          <w:p w:rsidR="00000000" w:rsidDel="00000000" w:rsidP="00000000" w:rsidRDefault="00000000" w:rsidRPr="00000000" w14:paraId="0000001D">
            <w:pPr>
              <w:spacing w:after="0" w:line="240" w:lineRule="auto"/>
              <w:rPr>
                <w:color w:val="000000"/>
              </w:rPr>
            </w:pPr>
            <w:r w:rsidDel="00000000" w:rsidR="00000000" w:rsidRPr="00000000">
              <w:rPr>
                <w:b w:val="1"/>
                <w:bCs w:val="1"/>
                <w:rtl w:val="0"/>
              </w:rPr>
              <w:t xml:space="preserve">Improved parental engagement - </w:t>
            </w:r>
            <w:r w:rsidDel="00000000" w:rsidR="00000000" w:rsidRPr="00000000">
              <w:rPr>
                <w:rtl w:val="0"/>
              </w:rPr>
              <w:t xml:space="preserve">Parental engagement continues to thrive through parents' evenings, school events, workshops, trips and extra-curricular clubs. The PTA has successfully hosted events, including a well-attended Christmas Fair. Engagement via Class Dojo remains positive, and newsletters along with knowledge organisers are shared every half term to strengthen the home-school partnership. </w:t>
            </w:r>
            <w:r w:rsidDel="00000000" w:rsidR="00000000" w:rsidRPr="00000000">
              <w:rPr>
                <w:color w:val="000000"/>
                <w:rtl w:val="0"/>
              </w:rPr>
              <w:t xml:space="preserve">The autumn term parent survey was very positive with 100% recommending Heacham Infant School because pupils are happy and feel safe. Parents attend Trust music events, are invited into school for Life Skills, Apprenticeship Day, World Book Day and attendance is tracked.</w:t>
            </w:r>
          </w:p>
          <w:p w:rsidR="00000000" w:rsidDel="00000000" w:rsidP="00000000" w:rsidRDefault="00000000" w:rsidRPr="00000000" w14:paraId="0000001E">
            <w:pPr>
              <w:spacing w:after="60" w:before="60" w:line="240" w:lineRule="auto"/>
              <w:ind w:right="57"/>
              <w:rPr>
                <w:b w:val="1"/>
                <w:bCs w:val="1"/>
              </w:rPr>
            </w:pPr>
            <w:r w:rsidDel="00000000" w:rsidR="00000000" w:rsidRPr="00000000">
              <w:rPr>
                <w:rtl w:val="0"/>
              </w:rPr>
            </w:r>
          </w:p>
          <w:p w:rsidR="00000000" w:rsidDel="00000000" w:rsidP="00000000" w:rsidRDefault="00000000" w:rsidRPr="00000000" w14:paraId="0000001F">
            <w:pPr>
              <w:spacing w:line="240" w:lineRule="auto"/>
              <w:rPr/>
            </w:pPr>
            <w:r w:rsidDel="00000000" w:rsidR="00000000" w:rsidRPr="00000000">
              <w:rPr>
                <w:b w:val="1"/>
                <w:bCs w:val="1"/>
                <w:rtl w:val="0"/>
              </w:rPr>
              <w:t xml:space="preserve">Every teacher is a teacher of SEND – </w:t>
            </w:r>
            <w:r w:rsidDel="00000000" w:rsidR="00000000" w:rsidRPr="00000000">
              <w:rPr>
                <w:rtl w:val="0"/>
              </w:rPr>
              <w:t xml:space="preserve">Regular planned CPD has supported staff development and enhanced our offer to pupils. Autumn term: script review, INDES and learning plans, lowest 20% technology and handwriting.</w:t>
            </w:r>
            <w:r w:rsidDel="00000000" w:rsidR="00000000" w:rsidRPr="00000000">
              <w:rPr>
                <w:color w:val="ff0000"/>
                <w:rtl w:val="0"/>
              </w:rPr>
              <w:t xml:space="preserve"> </w:t>
            </w:r>
            <w:r w:rsidDel="00000000" w:rsidR="00000000" w:rsidRPr="00000000">
              <w:rPr>
                <w:color w:val="000000"/>
                <w:rtl w:val="0"/>
              </w:rPr>
              <w:t xml:space="preserve">Julie Stewart delivered training on SEND support specifically for Comic Strip conversations to gain and understand pupil voice. . Extra CPD has been delivered on how to adapt learning, use Widgit, etc. Spring term CPD has been planned to support teachers in writing learning plans and how to audit these. CPD on the development of the teaching of other subjects was delivered in the autumn, along with the use of AI in schools. </w:t>
            </w:r>
            <w:r w:rsidDel="00000000" w:rsidR="00000000" w:rsidRPr="00000000">
              <w:rPr>
                <w:rtl w:val="0"/>
              </w:rPr>
              <w:t xml:space="preserve">Spring term: SALT, Wellcomm, planning adaptions and learning plan reviews. Summer term: Fundamentals, mental health team, adapting plans for pupils at PKS and using teaching assistants effectively.  </w:t>
            </w:r>
          </w:p>
          <w:p w:rsidR="00000000" w:rsidDel="00000000" w:rsidP="00000000" w:rsidRDefault="00000000" w:rsidRPr="00000000" w14:paraId="00000020">
            <w:pPr>
              <w:spacing w:line="240" w:lineRule="auto"/>
              <w:rPr/>
            </w:pPr>
            <w:r w:rsidDel="00000000" w:rsidR="00000000" w:rsidRPr="00000000">
              <w:rPr>
                <w:rtl w:val="0"/>
              </w:rPr>
              <w:t xml:space="preserve">Adaptions are in place for all SEND pupils to support learning. These include visual timetables, targeted interventions, sensory circuits, widgit timetables, busy boxes, chair bands, wobble cushions, brain breaks (including gardening), pastoral support, enlarged lines and squares in books, pens, coloured pages, overlays, emotion cards, social stories.</w:t>
            </w:r>
          </w:p>
          <w:p w:rsidR="00000000" w:rsidDel="00000000" w:rsidP="00000000" w:rsidRDefault="00000000" w:rsidRPr="00000000" w14:paraId="00000021">
            <w:pPr>
              <w:spacing w:line="240" w:lineRule="auto"/>
              <w:rPr>
                <w:b w:val="1"/>
                <w:bCs w:val="1"/>
              </w:rPr>
            </w:pPr>
            <w:r w:rsidDel="00000000" w:rsidR="00000000" w:rsidRPr="00000000">
              <w:rPr>
                <w:rtl w:val="0"/>
              </w:rPr>
              <w:t xml:space="preserve">SEND team work alongside staff to ensure planned adaptations are in place and continue to be effective. Screening completed as required and outcomes/suggestions for support shared with staff. Professional reports shared via provision mapping – outcomes feed into learning plan targets. Learning plans are on provision mapping and are reviewed/renewed every term (children and families are part of this process and their views are captured). </w:t>
            </w:r>
            <w:r w:rsidDel="00000000" w:rsidR="00000000" w:rsidRPr="00000000">
              <w:rPr>
                <w:rtl w:val="0"/>
              </w:rPr>
            </w:r>
          </w:p>
          <w:p w:rsidR="00000000" w:rsidDel="00000000" w:rsidP="00000000" w:rsidRDefault="00000000" w:rsidRPr="00000000" w14:paraId="00000022">
            <w:pPr>
              <w:spacing w:after="60" w:before="60" w:line="240" w:lineRule="auto"/>
              <w:ind w:right="57"/>
              <w:rPr/>
            </w:pPr>
            <w:r w:rsidDel="00000000" w:rsidR="00000000" w:rsidRPr="00000000">
              <w:rPr>
                <w:b w:val="1"/>
                <w:bCs w:val="1"/>
                <w:rtl w:val="0"/>
              </w:rPr>
              <w:t xml:space="preserve">Improved % attendance -</w:t>
            </w:r>
            <w:r w:rsidDel="00000000" w:rsidR="00000000" w:rsidRPr="00000000">
              <w:rPr>
                <w:color w:val="ff0000"/>
                <w:rtl w:val="0"/>
              </w:rPr>
              <w:t xml:space="preserve">. </w:t>
            </w:r>
            <w:r w:rsidDel="00000000" w:rsidR="00000000" w:rsidRPr="00000000">
              <w:rPr>
                <w:rtl w:val="0"/>
              </w:rPr>
              <w:t xml:space="preserve">Attendance on the ISDR  for 25-26 stands as close to average at 94.4% for all pupils, while attendance for disadvantaged pupils (PP) is 93.5% (national is 92.3%). Sen attendance is lower at 91.4%. . Improving attendance, particularly for those pupils with disadvantaged and SEND, will remain a key focus in 2026–27 as research indicates that three-quarters of schools in England identify poor attendance and low reading levels as the most significant barriers to academic achievement among socio-economically disadvantaged pupils.</w:t>
            </w:r>
          </w:p>
        </w:tc>
      </w:tr>
    </w:tbl>
    <w:p w:rsidR="00000000" w:rsidDel="00000000" w:rsidP="00000000" w:rsidRDefault="00000000" w:rsidRPr="00000000" w14:paraId="00000023">
      <w:pPr>
        <w:tabs>
          <w:tab w:val="left" w:leader="none" w:pos="1155"/>
        </w:tabs>
        <w:rPr/>
      </w:pPr>
      <w:r w:rsidDel="00000000" w:rsidR="00000000" w:rsidRPr="00000000">
        <w:rPr>
          <w:rtl w:val="0"/>
        </w:rPr>
      </w:r>
    </w:p>
    <w:sectPr>
      <w:headerReference r:id="rId8" w:type="default"/>
      <w:footerReference r:id="rId9" w:type="default"/>
      <w:pgSz w:h="16838" w:w="11906" w:orient="portrait"/>
      <w:pgMar w:bottom="720" w:top="720" w:left="720" w:right="72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ind w:firstLine="4513"/>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0" w:firstLine="0"/>
      </w:pPr>
      <w:rPr/>
    </w:lvl>
    <w:lvl w:ilvl="1">
      <w:start w:val="1"/>
      <w:numFmt w:val="decimal"/>
      <w:lvlText w:val="%2"/>
      <w:lvlJc w:val="left"/>
      <w:pPr>
        <w:ind w:left="0" w:firstLine="0"/>
      </w:pPr>
      <w:rPr/>
    </w:lvl>
    <w:lvl w:ilvl="2">
      <w:start w:val="1"/>
      <w:numFmt w:val="decimal"/>
      <w:lvlText w:val="%3"/>
      <w:lvlJc w:val="left"/>
      <w:pPr>
        <w:ind w:left="0" w:firstLine="0"/>
      </w:pPr>
      <w:rPr/>
    </w:lvl>
    <w:lvl w:ilvl="3">
      <w:start w:val="1"/>
      <w:numFmt w:val="decimal"/>
      <w:lvlText w:val="%4"/>
      <w:lvlJc w:val="left"/>
      <w:pPr>
        <w:ind w:left="0" w:firstLine="0"/>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0d0d0d"/>
        <w:sz w:val="24"/>
        <w:szCs w:val="24"/>
        <w:lang w:val="en_GB"/>
      </w:rPr>
    </w:rPrDefault>
    <w:pPrDefault>
      <w:pPr>
        <w:spacing w:after="24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ageBreakBefore w:val="1"/>
      <w:spacing w:line="240" w:lineRule="auto"/>
    </w:pPr>
    <w:rPr>
      <w:b w:val="1"/>
      <w:bCs w:val="1"/>
      <w:color w:val="104f75"/>
      <w:sz w:val="36"/>
      <w:szCs w:val="36"/>
    </w:rPr>
  </w:style>
  <w:style w:type="paragraph" w:styleId="Heading2">
    <w:name w:val="heading 2"/>
    <w:basedOn w:val="Normal"/>
    <w:next w:val="Normal"/>
    <w:pPr>
      <w:keepNext w:val="1"/>
      <w:spacing w:before="480" w:line="240" w:lineRule="auto"/>
    </w:pPr>
    <w:rPr>
      <w:b w:val="1"/>
      <w:bCs w:val="1"/>
      <w:color w:val="104f75"/>
      <w:sz w:val="32"/>
      <w:szCs w:val="32"/>
    </w:rPr>
  </w:style>
  <w:style w:type="paragraph" w:styleId="Heading3">
    <w:name w:val="heading 3"/>
    <w:basedOn w:val="Normal"/>
    <w:next w:val="Normal"/>
    <w:pPr>
      <w:keepNext w:val="1"/>
      <w:spacing w:before="360" w:line="240" w:lineRule="auto"/>
    </w:pPr>
    <w:rPr>
      <w:b w:val="1"/>
      <w:bCs w:val="1"/>
      <w:color w:val="104f75"/>
      <w:sz w:val="28"/>
      <w:szCs w:val="28"/>
    </w:rPr>
  </w:style>
  <w:style w:type="paragraph" w:styleId="Heading4">
    <w:name w:val="heading 4"/>
    <w:basedOn w:val="Normal"/>
    <w:next w:val="Normal"/>
    <w:pPr>
      <w:keepNext w:val="1"/>
      <w:spacing w:before="240" w:line="240" w:lineRule="auto"/>
    </w:pPr>
    <w:rPr>
      <w:b w:val="1"/>
      <w:bCs w:val="1"/>
      <w:color w:val="104f75"/>
    </w:rPr>
  </w:style>
  <w:style w:type="paragraph" w:styleId="Heading5">
    <w:name w:val="heading 5"/>
    <w:basedOn w:val="Normal"/>
    <w:next w:val="Normal"/>
    <w:pPr>
      <w:spacing w:after="60" w:before="240" w:lineRule="auto"/>
      <w:ind w:left="1008" w:hanging="1008"/>
    </w:pPr>
    <w:rPr>
      <w:rFonts w:ascii="Calibri" w:cs="Calibri" w:eastAsia="Calibri" w:hAnsi="Calibri"/>
      <w:b w:val="1"/>
      <w:bCs w:val="1"/>
      <w:i w:val="1"/>
      <w:iCs w:val="1"/>
      <w:sz w:val="26"/>
      <w:szCs w:val="26"/>
    </w:rPr>
  </w:style>
  <w:style w:type="paragraph" w:styleId="Heading6">
    <w:name w:val="heading 6"/>
    <w:basedOn w:val="Normal"/>
    <w:next w:val="Normal"/>
    <w:pPr>
      <w:spacing w:after="60" w:before="240" w:lineRule="auto"/>
      <w:ind w:left="1152" w:hanging="1152"/>
    </w:pPr>
    <w:rPr>
      <w:rFonts w:ascii="Calibri" w:cs="Calibri" w:eastAsia="Calibri" w:hAnsi="Calibri"/>
      <w:b w:val="1"/>
      <w:bCs w:val="1"/>
    </w:rPr>
  </w:style>
  <w:style w:type="paragraph" w:styleId="Title">
    <w:name w:val="Title"/>
    <w:basedOn w:val="Normal"/>
    <w:next w:val="Normal"/>
    <w:pPr>
      <w:spacing w:before="240" w:line="240" w:lineRule="auto"/>
    </w:pPr>
    <w:rPr>
      <w:b w:val="1"/>
      <w:bCs w:val="1"/>
      <w:color w:val="104f75"/>
      <w:sz w:val="96"/>
      <w:szCs w:val="96"/>
    </w:rPr>
  </w:style>
  <w:style w:type="paragraph" w:styleId="Heading7">
    <w:name w:val="heading 7"/>
    <w:basedOn w:val="Normal"/>
    <w:next w:val="Normal"/>
    <w:pPr>
      <w:numPr>
        <w:ilvl w:val="6"/>
        <w:numId w:val="1"/>
      </w:numPr>
      <w:spacing w:after="60" w:before="240"/>
      <w:outlineLvl w:val="6"/>
    </w:pPr>
    <w:rPr>
      <w:rFonts w:ascii="Calibri" w:hAnsi="Calibri"/>
    </w:rPr>
  </w:style>
  <w:style w:type="paragraph" w:styleId="Heading8">
    <w:name w:val="heading 8"/>
    <w:basedOn w:val="Normal"/>
    <w:next w:val="Normal"/>
    <w:pPr>
      <w:numPr>
        <w:ilvl w:val="7"/>
        <w:numId w:val="1"/>
      </w:numPr>
      <w:spacing w:after="60" w:before="240"/>
      <w:outlineLvl w:val="7"/>
    </w:pPr>
    <w:rPr>
      <w:rFonts w:ascii="Calibri" w:hAnsi="Calibri"/>
      <w:i w:val="1"/>
      <w:iCs w:val="1"/>
    </w:rPr>
  </w:style>
  <w:style w:type="paragraph" w:styleId="Heading9">
    <w:name w:val="heading 9"/>
    <w:basedOn w:val="Normal"/>
    <w:next w:val="Normal"/>
    <w:pPr>
      <w:numPr>
        <w:ilvl w:val="8"/>
        <w:numId w:val="1"/>
      </w:numPr>
      <w:spacing w:after="60" w:before="240"/>
      <w:outlineLvl w:val="8"/>
    </w:pPr>
    <w:rPr>
      <w:rFonts w:ascii="Cambria" w:hAnsi="Cambria"/>
      <w:szCs w:val="2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100.0" w:type="dxa"/>
        <w:left w:w="100.0" w:type="dxa"/>
        <w:bottom w:w="100.0" w:type="dxa"/>
        <w:right w:w="100.0" w:type="dxa"/>
      </w:tblCellMar>
    </w:tblPr>
  </w:style>
  <w:style w:type="numbering" w:styleId="WWOutlineListStyle1" w:customStyle="1">
    <w:name w:val="WW_OutlineListStyle_1"/>
    <w:basedOn w:val="NoList"/>
  </w:style>
  <w:style w:type="character" w:styleId="Heading1Char" w:customStyle="1">
    <w:name w:val="Heading 1 Char"/>
    <w:rPr>
      <w:b w:val="1"/>
      <w:color w:val="104f75"/>
      <w:sz w:val="36"/>
      <w:szCs w:val="24"/>
    </w:rPr>
  </w:style>
  <w:style w:type="character" w:styleId="Heading2Char" w:customStyle="1">
    <w:name w:val="Heading 2 Char"/>
    <w:rPr>
      <w:b w:val="1"/>
      <w:color w:val="104f75"/>
      <w:sz w:val="32"/>
      <w:szCs w:val="32"/>
    </w:rPr>
  </w:style>
  <w:style w:type="character" w:styleId="Heading3Char" w:customStyle="1">
    <w:name w:val="Heading 3 Char"/>
    <w:rPr>
      <w:b w:val="1"/>
      <w:bCs w:val="1"/>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val="1"/>
    </w:pPr>
    <w:rPr>
      <w:b w:val="1"/>
      <w:color w:val="365f91"/>
      <w:sz w:val="36"/>
      <w:szCs w:val="28"/>
      <w:lang w:eastAsia="ja-JP"/>
    </w:rPr>
  </w:style>
  <w:style w:type="paragraph" w:styleId="TitleText" w:customStyle="1">
    <w:name w:val="TitleText"/>
    <w:basedOn w:val="Normal"/>
    <w:pPr>
      <w:spacing w:before="3600" w:line="240" w:lineRule="auto"/>
    </w:pPr>
    <w:rPr>
      <w:b w:val="1"/>
      <w:color w:val="104f75"/>
      <w:sz w:val="92"/>
      <w:szCs w:val="92"/>
    </w:rPr>
  </w:style>
  <w:style w:type="character" w:styleId="TitleTextChar" w:customStyle="1">
    <w:name w:val="TitleText Char"/>
    <w:rPr>
      <w:rFonts w:cs="Arial"/>
      <w:b w:val="1"/>
      <w:color w:val="104f75"/>
      <w:sz w:val="92"/>
      <w:szCs w:val="92"/>
    </w:rPr>
  </w:style>
  <w:style w:type="paragraph" w:styleId="SubtitleText" w:customStyle="1">
    <w:name w:val="SubtitleText"/>
    <w:basedOn w:val="Normal"/>
    <w:pPr>
      <w:spacing w:after="1520"/>
    </w:pPr>
    <w:rPr>
      <w:b w:val="1"/>
      <w:color w:val="104f75"/>
      <w:sz w:val="48"/>
      <w:szCs w:val="48"/>
    </w:rPr>
  </w:style>
  <w:style w:type="character" w:styleId="SubtitleTextChar" w:customStyle="1">
    <w:name w:val="SubtitleText Char"/>
    <w:rPr>
      <w:rFonts w:cs="Arial"/>
      <w:b w:val="1"/>
      <w:color w:val="104f75"/>
      <w:sz w:val="48"/>
      <w:szCs w:val="48"/>
    </w:rPr>
  </w:style>
  <w:style w:type="paragraph" w:styleId="ListBullet">
    <w:name w:val="List Bullet"/>
    <w:basedOn w:val="ListBullet5"/>
    <w:pPr>
      <w:numPr>
        <w:numId w:val="3"/>
      </w:numPr>
      <w:contextualSpacing w:val="1"/>
    </w:pPr>
  </w:style>
  <w:style w:type="paragraph" w:styleId="TOC1">
    <w:name w:val="toc 1"/>
    <w:basedOn w:val="Normal"/>
    <w:next w:val="Normal"/>
    <w:autoRedefine w:val="1"/>
    <w:pPr>
      <w:tabs>
        <w:tab w:val="right" w:pos="9498"/>
      </w:tabs>
      <w:spacing w:after="120"/>
    </w:pPr>
  </w:style>
  <w:style w:type="paragraph" w:styleId="TOC2">
    <w:name w:val="toc 2"/>
    <w:basedOn w:val="Normal"/>
    <w:next w:val="Normal"/>
    <w:autoRedefine w:val="1"/>
    <w:pPr>
      <w:tabs>
        <w:tab w:val="right" w:pos="9498"/>
      </w:tabs>
      <w:spacing w:after="120"/>
      <w:ind w:left="238"/>
    </w:pPr>
  </w:style>
  <w:style w:type="paragraph" w:styleId="TOC3">
    <w:name w:val="toc 3"/>
    <w:basedOn w:val="Normal"/>
    <w:next w:val="Normal"/>
    <w:autoRedefine w:val="1"/>
    <w:pPr>
      <w:tabs>
        <w:tab w:val="right" w:pos="9498"/>
      </w:tabs>
      <w:spacing w:after="120"/>
      <w:ind w:left="480"/>
    </w:pPr>
  </w:style>
  <w:style w:type="paragraph" w:styleId="CopyrightBox" w:customStyle="1">
    <w:name w:val="CopyrightBox"/>
    <w:basedOn w:val="Normal"/>
  </w:style>
  <w:style w:type="character" w:styleId="CopyrightBoxChar" w:customStyle="1">
    <w:name w:val="CopyrightBox Char"/>
    <w:rPr>
      <w:color w:val="0d0d0d"/>
      <w:sz w:val="24"/>
      <w:szCs w:val="24"/>
    </w:rPr>
  </w:style>
  <w:style w:type="paragraph" w:styleId="CopyrightSpacing" w:customStyle="1">
    <w:name w:val="CopyrightSpacing"/>
    <w:basedOn w:val="Normal"/>
    <w:pPr>
      <w:spacing w:after="120" w:before="6000"/>
    </w:pPr>
  </w:style>
  <w:style w:type="character" w:styleId="CopyrightSpacingChar" w:customStyle="1">
    <w:name w:val="CopyrightSpacing Char"/>
    <w:rPr>
      <w:sz w:val="24"/>
      <w:szCs w:val="24"/>
    </w:rPr>
  </w:style>
  <w:style w:type="character" w:styleId="TitleChar" w:customStyle="1">
    <w:name w:val="Title Char"/>
    <w:rPr>
      <w:rFonts w:ascii="Arial" w:cs="Arial" w:hAnsi="Arial"/>
      <w:b w:val="1"/>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tabs>
        <w:tab w:val="num" w:pos="720"/>
      </w:tabs>
      <w:ind w:left="720" w:hanging="720"/>
      <w:contextualSpacing w:val="1"/>
    </w:p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val="1"/>
    <w:pPr>
      <w:tabs>
        <w:tab w:val="num" w:pos="720"/>
      </w:tabs>
      <w:ind w:left="720" w:hanging="720"/>
      <w:contextualSpacing w:val="1"/>
    </w:pPr>
  </w:style>
  <w:style w:type="paragraph" w:styleId="Caption">
    <w:name w:val="caption"/>
    <w:basedOn w:val="Normal"/>
    <w:next w:val="Normal"/>
    <w:pPr>
      <w:spacing w:after="120" w:before="120"/>
      <w:jc w:val="center"/>
    </w:pPr>
    <w:rPr>
      <w:b w:val="1"/>
      <w:bCs w:val="1"/>
      <w:color w:val="000000"/>
      <w:sz w:val="20"/>
      <w:szCs w:val="20"/>
    </w:rPr>
  </w:style>
  <w:style w:type="character" w:styleId="Heading4Char" w:customStyle="1">
    <w:name w:val="Heading 4 Char"/>
    <w:rPr>
      <w:b w:val="1"/>
      <w:bCs w:val="1"/>
      <w:color w:val="104f75"/>
      <w:sz w:val="24"/>
      <w:szCs w:val="28"/>
    </w:rPr>
  </w:style>
  <w:style w:type="character" w:styleId="Heading5Char" w:customStyle="1">
    <w:name w:val="Heading 5 Char"/>
    <w:rPr>
      <w:rFonts w:ascii="Calibri" w:hAnsi="Calibri"/>
      <w:b w:val="1"/>
      <w:bCs w:val="1"/>
      <w:i w:val="1"/>
      <w:iCs w:val="1"/>
      <w:color w:val="0d0d0d"/>
      <w:sz w:val="26"/>
      <w:szCs w:val="26"/>
    </w:rPr>
  </w:style>
  <w:style w:type="character" w:styleId="Heading6Char" w:customStyle="1">
    <w:name w:val="Heading 6 Char"/>
    <w:rPr>
      <w:rFonts w:ascii="Calibri" w:hAnsi="Calibri"/>
      <w:b w:val="1"/>
      <w:bCs w:val="1"/>
      <w:color w:val="0d0d0d"/>
      <w:sz w:val="24"/>
      <w:szCs w:val="22"/>
    </w:rPr>
  </w:style>
  <w:style w:type="character" w:styleId="Heading7Char" w:customStyle="1">
    <w:name w:val="Heading 7 Char"/>
    <w:rPr>
      <w:rFonts w:ascii="Calibri" w:hAnsi="Calibri"/>
      <w:color w:val="0d0d0d"/>
      <w:sz w:val="24"/>
      <w:szCs w:val="24"/>
    </w:rPr>
  </w:style>
  <w:style w:type="character" w:styleId="Heading8Char" w:customStyle="1">
    <w:name w:val="Heading 8 Char"/>
    <w:rPr>
      <w:rFonts w:ascii="Calibri" w:hAnsi="Calibri"/>
      <w:i w:val="1"/>
      <w:iCs w:val="1"/>
      <w:color w:val="0d0d0d"/>
      <w:sz w:val="24"/>
      <w:szCs w:val="24"/>
    </w:rPr>
  </w:style>
  <w:style w:type="character" w:styleId="Heading9Char" w:customStyle="1">
    <w:name w:val="Heading 9 Char"/>
    <w:rPr>
      <w:rFonts w:ascii="Cambria" w:hAnsi="Cambria"/>
      <w:color w:val="0d0d0d"/>
      <w:sz w:val="24"/>
      <w:szCs w:val="22"/>
    </w:rPr>
  </w:style>
  <w:style w:type="paragraph" w:styleId="BodyText">
    <w:name w:val="Body Text"/>
    <w:basedOn w:val="Normal"/>
    <w:pPr>
      <w:spacing w:after="120"/>
    </w:pPr>
  </w:style>
  <w:style w:type="character" w:styleId="BodyTextChar" w:customStyle="1">
    <w:name w:val="Body Text Char"/>
    <w:basedOn w:val="DefaultParagraphFont"/>
    <w:rPr>
      <w:color w:val="0d0d0d"/>
      <w:sz w:val="24"/>
      <w:szCs w:val="24"/>
    </w:rPr>
  </w:style>
  <w:style w:type="paragraph" w:styleId="TableHeader" w:customStyle="1">
    <w:name w:val="TableHeader"/>
    <w:pPr>
      <w:suppressAutoHyphens w:val="1"/>
      <w:spacing w:after="60" w:before="60"/>
      <w:ind w:left="57" w:right="57"/>
      <w:jc w:val="center"/>
    </w:pPr>
    <w:rPr>
      <w:b w:val="1"/>
    </w:rPr>
  </w:style>
  <w:style w:type="paragraph" w:styleId="BalloonText">
    <w:name w:val="Balloon Text"/>
    <w:basedOn w:val="Normal"/>
    <w:pPr>
      <w:spacing w:after="0" w:line="240" w:lineRule="auto"/>
    </w:pPr>
    <w:rPr>
      <w:rFonts w:ascii="Tahoma" w:cs="Tahoma" w:hAnsi="Tahoma"/>
      <w:sz w:val="16"/>
      <w:szCs w:val="16"/>
    </w:rPr>
  </w:style>
  <w:style w:type="character" w:styleId="BalloonTextChar" w:customStyle="1">
    <w:name w:val="Balloon Text Char"/>
    <w:rPr>
      <w:rFonts w:ascii="Tahoma" w:cs="Tahoma" w:hAnsi="Tahoma"/>
      <w:sz w:val="16"/>
      <w:szCs w:val="16"/>
    </w:rPr>
  </w:style>
  <w:style w:type="paragraph" w:styleId="TableRow" w:customStyle="1">
    <w:name w:val="TableRow"/>
    <w:pPr>
      <w:suppressAutoHyphens w:val="1"/>
      <w:spacing w:after="60" w:before="60"/>
      <w:ind w:left="57" w:right="57"/>
    </w:pPr>
  </w:style>
  <w:style w:type="character" w:styleId="TableRowChar" w:customStyle="1">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styleId="HeaderChar" w:customStyle="1">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styleId="FooterChar" w:customStyle="1">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styleId="FootnoteTextChar" w:customStyle="1">
    <w:name w:val="Footnote Text Char"/>
    <w:basedOn w:val="DefaultParagraphFont"/>
  </w:style>
  <w:style w:type="character" w:styleId="FootnoteReference">
    <w:name w:val="footnote reference"/>
    <w:basedOn w:val="DefaultParagraphFont"/>
    <w:rPr>
      <w:position w:val="0"/>
      <w:vertAlign w:val="superscript"/>
    </w:rPr>
  </w:style>
  <w:style w:type="character" w:styleId="RGB" w:customStyle="1">
    <w:name w:val="RGB"/>
    <w:basedOn w:val="DefaultParagraphFont"/>
    <w:rPr>
      <w:b w:val="1"/>
      <w:bCs w:val="1"/>
      <w:sz w:val="20"/>
    </w:rPr>
  </w:style>
  <w:style w:type="paragraph" w:styleId="ColouredBoxHeadline" w:customStyle="1">
    <w:name w:val="Coloured Box Headline"/>
    <w:basedOn w:val="Normal"/>
    <w:pPr>
      <w:spacing w:before="120"/>
    </w:pPr>
    <w:rPr>
      <w:b w:val="1"/>
      <w:bCs w:val="1"/>
      <w:sz w:val="28"/>
      <w:szCs w:val="20"/>
    </w:rPr>
  </w:style>
  <w:style w:type="character" w:styleId="RGBValues" w:customStyle="1">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uiPriority w:val="99"/>
  </w:style>
  <w:style w:type="paragraph" w:styleId="CommentText">
    <w:name w:val="annotation text"/>
    <w:basedOn w:val="Normal"/>
    <w:uiPriority w:val="99"/>
    <w:pPr>
      <w:spacing w:line="240" w:lineRule="auto"/>
    </w:pPr>
    <w:rPr>
      <w:sz w:val="20"/>
      <w:szCs w:val="20"/>
    </w:rPr>
  </w:style>
  <w:style w:type="character" w:styleId="CommentTextChar" w:customStyle="1">
    <w:name w:val="Comment Text Char"/>
    <w:basedOn w:val="DefaultParagraphFont"/>
    <w:uiPriority w:val="99"/>
  </w:style>
  <w:style w:type="paragraph" w:styleId="CommentSubject">
    <w:name w:val="annotation subject"/>
    <w:basedOn w:val="CommentText"/>
    <w:next w:val="CommentText"/>
    <w:rPr>
      <w:b w:val="1"/>
      <w:bCs w:val="1"/>
    </w:rPr>
  </w:style>
  <w:style w:type="character" w:styleId="CommentSubjectChar" w:customStyle="1">
    <w:name w:val="Comment Subject Char"/>
    <w:basedOn w:val="CommentTextChar"/>
    <w:rPr>
      <w:b w:val="1"/>
      <w:bCs w:val="1"/>
    </w:rPr>
  </w:style>
  <w:style w:type="paragraph" w:styleId="Centredembed" w:customStyle="1">
    <w:name w:val="Centred embed"/>
    <w:basedOn w:val="Normal"/>
    <w:pPr>
      <w:spacing w:after="0"/>
      <w:jc w:val="center"/>
    </w:pPr>
    <w:rPr>
      <w:szCs w:val="20"/>
    </w:rPr>
  </w:style>
  <w:style w:type="paragraph" w:styleId="Date">
    <w:name w:val="Date"/>
    <w:basedOn w:val="Normal"/>
    <w:next w:val="Normal"/>
    <w:rPr>
      <w:b w:val="1"/>
      <w:bCs w:val="1"/>
      <w:color w:val="104f75"/>
      <w:sz w:val="44"/>
      <w:szCs w:val="44"/>
    </w:rPr>
  </w:style>
  <w:style w:type="character" w:styleId="DateChar" w:customStyle="1">
    <w:name w:val="Date Char"/>
    <w:basedOn w:val="DefaultParagraphFont"/>
    <w:rPr>
      <w:rFonts w:cs="Arial"/>
      <w:b w:val="1"/>
      <w:bCs w:val="1"/>
      <w:color w:val="104f75"/>
      <w:sz w:val="44"/>
      <w:szCs w:val="44"/>
    </w:rPr>
  </w:style>
  <w:style w:type="character" w:styleId="SourceChar" w:customStyle="1">
    <w:name w:val="Source Char"/>
    <w:basedOn w:val="DefaultParagraphFont"/>
  </w:style>
  <w:style w:type="paragraph" w:styleId="Source" w:customStyle="1">
    <w:name w:val="Source"/>
    <w:basedOn w:val="Normal"/>
    <w:pPr>
      <w:jc w:val="right"/>
    </w:pPr>
    <w:rPr>
      <w:sz w:val="20"/>
      <w:szCs w:val="20"/>
    </w:rPr>
  </w:style>
  <w:style w:type="paragraph" w:styleId="DfESOutNumbered1" w:customStyle="1">
    <w:name w:val="DfESOutNumbered1"/>
    <w:basedOn w:val="Normal"/>
    <w:pPr>
      <w:tabs>
        <w:tab w:val="num" w:pos="720"/>
      </w:tabs>
      <w:ind w:left="720" w:hanging="720"/>
    </w:pPr>
  </w:style>
  <w:style w:type="character" w:styleId="DfESOutNumbered1Char" w:customStyle="1">
    <w:name w:val="DfESOutNumbered1 Char"/>
    <w:rPr>
      <w:sz w:val="24"/>
      <w:szCs w:val="24"/>
    </w:rPr>
  </w:style>
  <w:style w:type="paragraph" w:styleId="TableRowRight" w:customStyle="1">
    <w:name w:val="TableRowRight"/>
    <w:basedOn w:val="TableRow"/>
    <w:pPr>
      <w:jc w:val="right"/>
    </w:pPr>
    <w:rPr>
      <w:szCs w:val="20"/>
    </w:rPr>
  </w:style>
  <w:style w:type="paragraph" w:styleId="TableRowCentered" w:customStyle="1">
    <w:name w:val="TableRowCentered"/>
    <w:basedOn w:val="TableRow"/>
    <w:pPr>
      <w:jc w:val="center"/>
    </w:pPr>
    <w:rPr>
      <w:szCs w:val="20"/>
    </w:rPr>
  </w:style>
  <w:style w:type="paragraph" w:styleId="SocialMedia" w:customStyle="1">
    <w:name w:val="SocialMedia"/>
    <w:basedOn w:val="Normal"/>
    <w:pPr>
      <w:tabs>
        <w:tab w:val="left" w:pos="4253"/>
        <w:tab w:val="left" w:pos="4820"/>
      </w:tabs>
      <w:spacing w:after="0" w:line="240" w:lineRule="auto"/>
      <w:ind w:firstLine="34"/>
    </w:pPr>
  </w:style>
  <w:style w:type="paragraph" w:styleId="Reference" w:customStyle="1">
    <w:name w:val="Reference"/>
    <w:basedOn w:val="Normal"/>
    <w:pPr>
      <w:tabs>
        <w:tab w:val="left" w:pos="1701"/>
      </w:tabs>
      <w:spacing w:before="240"/>
    </w:pPr>
  </w:style>
  <w:style w:type="character" w:styleId="SocialMediaChar" w:customStyle="1">
    <w:name w:val="SocialMedia Char"/>
    <w:basedOn w:val="DefaultParagraphFont"/>
    <w:rPr>
      <w:sz w:val="24"/>
      <w:szCs w:val="24"/>
    </w:rPr>
  </w:style>
  <w:style w:type="paragraph" w:styleId="Licence" w:customStyle="1">
    <w:name w:val="Licence"/>
    <w:basedOn w:val="Normal"/>
    <w:pPr>
      <w:tabs>
        <w:tab w:val="left" w:pos="1418"/>
      </w:tabs>
      <w:ind w:left="284"/>
      <w:contextualSpacing w:val="1"/>
    </w:pPr>
  </w:style>
  <w:style w:type="character" w:styleId="ReferenceChar" w:customStyle="1">
    <w:name w:val="Reference Char"/>
    <w:basedOn w:val="DefaultParagraphFont"/>
    <w:rPr>
      <w:color w:val="0d0d0d"/>
      <w:sz w:val="24"/>
      <w:szCs w:val="24"/>
    </w:rPr>
  </w:style>
  <w:style w:type="paragraph" w:styleId="LicenceIntro" w:customStyle="1">
    <w:name w:val="LicenceIntro"/>
    <w:basedOn w:val="Licence"/>
    <w:pPr>
      <w:spacing w:after="0"/>
      <w:ind w:left="0"/>
    </w:pPr>
    <w:rPr>
      <w:szCs w:val="20"/>
    </w:rPr>
  </w:style>
  <w:style w:type="character" w:styleId="LicenceChar" w:customStyle="1">
    <w:name w:val="Licence Char"/>
    <w:basedOn w:val="DefaultParagraphFont"/>
    <w:rPr>
      <w:sz w:val="24"/>
      <w:szCs w:val="24"/>
    </w:rPr>
  </w:style>
  <w:style w:type="paragraph" w:styleId="ListBullet2">
    <w:name w:val="List Bullet 2"/>
    <w:basedOn w:val="Normal"/>
    <w:pPr>
      <w:tabs>
        <w:tab w:val="left" w:pos="491"/>
        <w:tab w:val="num" w:pos="720"/>
      </w:tabs>
      <w:ind w:left="720" w:hanging="720"/>
      <w:contextualSpacing w:val="1"/>
    </w:pPr>
  </w:style>
  <w:style w:type="paragraph" w:styleId="Logos" w:customStyle="1">
    <w:name w:val="Logos"/>
    <w:basedOn w:val="Normal"/>
    <w:pPr>
      <w:pageBreakBefore w:val="1"/>
      <w:widowControl w:val="0"/>
    </w:pPr>
  </w:style>
  <w:style w:type="character" w:styleId="LogosChar" w:customStyle="1">
    <w:name w:val="Logos Char"/>
    <w:basedOn w:val="DefaultParagraphFont"/>
    <w:rPr>
      <w:color w:val="0d0d0d"/>
      <w:sz w:val="24"/>
      <w:szCs w:val="24"/>
    </w:rPr>
  </w:style>
  <w:style w:type="paragraph" w:styleId="ListBullet3">
    <w:name w:val="List Bullet 3"/>
    <w:basedOn w:val="Normal"/>
    <w:pPr>
      <w:tabs>
        <w:tab w:val="num" w:pos="720"/>
      </w:tabs>
      <w:ind w:left="720" w:hanging="720"/>
      <w:contextualSpacing w:val="1"/>
    </w:pPr>
  </w:style>
  <w:style w:type="paragraph" w:styleId="DfESOutNumbered" w:customStyle="1">
    <w:name w:val="DfESOutNumbered"/>
    <w:basedOn w:val="Normal"/>
    <w:pPr>
      <w:widowControl w:val="0"/>
      <w:tabs>
        <w:tab w:val="num" w:pos="720"/>
      </w:tabs>
      <w:overflowPunct w:val="0"/>
      <w:autoSpaceDE w:val="0"/>
      <w:spacing w:line="240" w:lineRule="auto"/>
      <w:ind w:left="720" w:hanging="720"/>
      <w:textAlignment w:val="baseline"/>
    </w:pPr>
    <w:rPr>
      <w:color w:val="auto"/>
      <w:sz w:val="22"/>
      <w:szCs w:val="20"/>
      <w:lang w:eastAsia="en-US"/>
    </w:rPr>
  </w:style>
  <w:style w:type="character" w:styleId="DfESOutNumberedChar" w:customStyle="1">
    <w:name w:val="DfESOutNumbered Char"/>
    <w:basedOn w:val="LogosChar"/>
    <w:rPr>
      <w:rFonts w:cs="Arial"/>
      <w:color w:val="0d0d0d"/>
      <w:sz w:val="22"/>
      <w:szCs w:val="24"/>
      <w:lang w:eastAsia="en-US"/>
    </w:rPr>
  </w:style>
  <w:style w:type="paragraph" w:styleId="DeptBullets" w:customStyle="1">
    <w:name w:val="DeptBullets"/>
    <w:basedOn w:val="Normal"/>
    <w:pPr>
      <w:widowControl w:val="0"/>
      <w:tabs>
        <w:tab w:val="num" w:pos="720"/>
      </w:tabs>
      <w:overflowPunct w:val="0"/>
      <w:autoSpaceDE w:val="0"/>
      <w:spacing w:line="240" w:lineRule="auto"/>
      <w:ind w:left="720" w:hanging="720"/>
      <w:textAlignment w:val="baseline"/>
    </w:pPr>
    <w:rPr>
      <w:color w:val="auto"/>
      <w:szCs w:val="20"/>
      <w:lang w:eastAsia="en-US"/>
    </w:rPr>
  </w:style>
  <w:style w:type="character" w:styleId="DeptBulletsChar" w:customStyle="1">
    <w:name w:val="DeptBullets Char"/>
    <w:basedOn w:val="LogosChar"/>
    <w:rPr>
      <w:color w:val="0d0d0d"/>
      <w:sz w:val="24"/>
      <w:szCs w:val="24"/>
      <w:lang w:eastAsia="en-US"/>
    </w:rPr>
  </w:style>
  <w:style w:type="paragraph" w:styleId="TOCHeader" w:customStyle="1">
    <w:name w:val="TOC Header"/>
    <w:pPr>
      <w:pageBreakBefore w:val="1"/>
      <w:suppressAutoHyphens w:val="1"/>
    </w:pPr>
    <w:rPr>
      <w:b w:val="1"/>
      <w:color w:val="104f75"/>
      <w:sz w:val="36"/>
    </w:rPr>
  </w:style>
  <w:style w:type="character" w:styleId="TOCHeaderChar" w:customStyle="1">
    <w:name w:val="TOC Header Char"/>
    <w:rPr>
      <w:b w:val="1"/>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styleId="BodyTextIndentChar" w:customStyle="1">
    <w:name w:val="Body Text Indent Char"/>
    <w:basedOn w:val="DefaultParagraphFont"/>
    <w:rPr>
      <w:sz w:val="24"/>
      <w:lang w:eastAsia="en-US"/>
    </w:rPr>
  </w:style>
  <w:style w:type="paragraph" w:styleId="DeptOutNumbered" w:customStyle="1">
    <w:name w:val="DeptOutNumbered"/>
    <w:basedOn w:val="Normal"/>
    <w:pPr>
      <w:widowControl w:val="0"/>
      <w:tabs>
        <w:tab w:val="num" w:pos="720"/>
      </w:tabs>
      <w:overflowPunct w:val="0"/>
      <w:autoSpaceDE w:val="0"/>
      <w:spacing w:line="240" w:lineRule="auto"/>
      <w:ind w:left="720" w:hanging="720"/>
      <w:textAlignment w:val="baseline"/>
    </w:pPr>
    <w:rPr>
      <w:color w:val="auto"/>
      <w:szCs w:val="20"/>
      <w:lang w:eastAsia="en-US"/>
    </w:rPr>
  </w:style>
  <w:style w:type="paragraph" w:styleId="Heading" w:customStyle="1">
    <w:name w:val="Heading"/>
    <w:basedOn w:val="Normal"/>
    <w:next w:val="Normal"/>
    <w:pPr>
      <w:keepNext w:val="1"/>
      <w:keepLines w:val="1"/>
      <w:widowControl w:val="0"/>
      <w:overflowPunct w:val="0"/>
      <w:autoSpaceDE w:val="0"/>
      <w:spacing w:before="240" w:line="240" w:lineRule="auto"/>
      <w:ind w:left="-720"/>
      <w:textAlignment w:val="baseline"/>
    </w:pPr>
    <w:rPr>
      <w:b w:val="1"/>
      <w:color w:val="auto"/>
      <w:szCs w:val="20"/>
      <w:lang w:eastAsia="en-US"/>
    </w:rPr>
  </w:style>
  <w:style w:type="paragraph" w:styleId="MinuteTop" w:customStyle="1">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styleId="Numbered" w:customStyle="1">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styleId="PersonalComposeStyle" w:customStyle="1">
    <w:name w:val="Personal Compose Style"/>
    <w:basedOn w:val="DefaultParagraphFont"/>
    <w:rPr>
      <w:rFonts w:ascii="Arial" w:cs="Arial" w:hAnsi="Arial"/>
      <w:color w:val="auto"/>
      <w:sz w:val="20"/>
    </w:rPr>
  </w:style>
  <w:style w:type="character" w:styleId="PersonalReplyStyle" w:customStyle="1">
    <w:name w:val="Personal Reply Style"/>
    <w:basedOn w:val="DefaultParagraphFont"/>
    <w:rPr>
      <w:rFonts w:ascii="Arial" w:cs="Arial" w:hAnsi="Arial"/>
      <w:color w:val="auto"/>
      <w:sz w:val="20"/>
    </w:rPr>
  </w:style>
  <w:style w:type="paragraph" w:styleId="Sub-Heading" w:customStyle="1">
    <w:name w:val="Sub-Heading"/>
    <w:basedOn w:val="Heading"/>
    <w:next w:val="Numbered"/>
    <w:pPr>
      <w:spacing w:before="0"/>
    </w:pPr>
  </w:style>
  <w:style w:type="character" w:styleId="SubtitleChar" w:customStyle="1">
    <w:name w:val="Subtitle Char"/>
    <w:basedOn w:val="DefaultParagraphFont"/>
    <w:rPr>
      <w:i w:val="1"/>
      <w:sz w:val="24"/>
      <w:lang w:eastAsia="en-US"/>
    </w:rPr>
  </w:style>
  <w:style w:type="paragraph" w:styleId="DfESBullets" w:customStyle="1">
    <w:name w:val="DfESBullets"/>
    <w:basedOn w:val="Normal"/>
    <w:pPr>
      <w:widowControl w:val="0"/>
      <w:tabs>
        <w:tab w:val="num" w:pos="720"/>
      </w:tabs>
      <w:overflowPunct w:val="0"/>
      <w:autoSpaceDE w:val="0"/>
      <w:spacing w:line="240" w:lineRule="auto"/>
      <w:ind w:left="720" w:hanging="720"/>
      <w:textAlignment w:val="baseline"/>
    </w:pPr>
    <w:rPr>
      <w:color w:val="auto"/>
      <w:sz w:val="22"/>
      <w:szCs w:val="20"/>
      <w:lang w:eastAsia="en-US"/>
    </w:rPr>
  </w:style>
  <w:style w:type="character" w:styleId="UnresolvedMention">
    <w:name w:val="Unresolved Mention"/>
    <w:basedOn w:val="DefaultParagraphFont"/>
    <w:rPr>
      <w:color w:val="605e5c"/>
      <w:shd w:color="auto" w:fill="e1dfdd" w:val="clear"/>
    </w:rPr>
  </w:style>
  <w:style w:type="numbering" w:styleId="WWOutlineListStyle" w:customStyle="1">
    <w:name w:val="WW_OutlineListStyle"/>
    <w:basedOn w:val="NoList"/>
  </w:style>
  <w:style w:type="numbering" w:styleId="LFO3" w:customStyle="1">
    <w:name w:val="LFO3"/>
    <w:basedOn w:val="NoList"/>
  </w:style>
  <w:style w:type="numbering" w:styleId="LFO4" w:customStyle="1">
    <w:name w:val="LFO4"/>
    <w:basedOn w:val="NoList"/>
  </w:style>
  <w:style w:type="numbering" w:styleId="LFO6" w:customStyle="1">
    <w:name w:val="LFO6"/>
    <w:basedOn w:val="NoList"/>
  </w:style>
  <w:style w:type="numbering" w:styleId="LFO9" w:customStyle="1">
    <w:name w:val="LFO9"/>
    <w:basedOn w:val="NoList"/>
  </w:style>
  <w:style w:type="numbering" w:styleId="LFO10" w:customStyle="1">
    <w:name w:val="LFO10"/>
    <w:basedOn w:val="NoList"/>
  </w:style>
  <w:style w:type="numbering" w:styleId="LFO25" w:customStyle="1">
    <w:name w:val="LFO25"/>
    <w:basedOn w:val="NoList"/>
  </w:style>
  <w:style w:type="numbering" w:styleId="LFO28" w:customStyle="1">
    <w:name w:val="LFO28"/>
    <w:basedOn w:val="NoList"/>
  </w:style>
  <w:style w:type="numbering" w:styleId="LFO30" w:customStyle="1">
    <w:name w:val="LFO30"/>
    <w:basedOn w:val="NoList"/>
  </w:style>
  <w:style w:type="numbering" w:styleId="LFO34" w:customStyle="1">
    <w:name w:val="LFO34"/>
    <w:basedOn w:val="NoList"/>
  </w:style>
  <w:style w:type="numbering" w:styleId="LFO36" w:customStyle="1">
    <w:name w:val="LFO36"/>
    <w:basedOn w:val="NoList"/>
  </w:style>
  <w:style w:type="paragraph" w:styleId="Revision">
    <w:name w:val="Revision"/>
    <w:hidden w:val="1"/>
    <w:uiPriority w:val="99"/>
    <w:semiHidden w:val="1"/>
    <w:rsid w:val="00115538"/>
  </w:style>
  <w:style w:type="character" w:styleId="Mention">
    <w:name w:val="Mention"/>
    <w:basedOn w:val="DefaultParagraphFont"/>
    <w:uiPriority w:val="99"/>
    <w:unhideWhenUsed w:val="1"/>
    <w:rsid w:val="00E726A6"/>
    <w:rPr>
      <w:color w:val="2b579a"/>
      <w:shd w:color="auto" w:fill="e1dfdd" w:val="clear"/>
    </w:rPr>
  </w:style>
  <w:style w:type="table" w:styleId="TableGrid">
    <w:name w:val="Table Grid"/>
    <w:basedOn w:val="TableNormal"/>
    <w:uiPriority w:val="39"/>
    <w:rsid w:val="009539E3"/>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ListParagraphChar" w:customStyle="1">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val="1"/>
    <w:rsid w:val="00721B51"/>
  </w:style>
  <w:style w:type="character" w:styleId="ui-provider" w:customStyle="1">
    <w:name w:val="ui-provider"/>
    <w:basedOn w:val="DefaultParagraphFont"/>
    <w:rsid w:val="00287FA8"/>
  </w:style>
  <w:style w:type="paragraph" w:styleId="NoSpacing">
    <w:name w:val="No Spacing"/>
    <w:uiPriority w:val="1"/>
    <w:qFormat w:val="1"/>
    <w:rsid w:val="00530419"/>
    <w:pPr>
      <w:suppressAutoHyphens w:val="1"/>
    </w:pPr>
  </w:style>
  <w:style w:type="table" w:styleId="a" w:customStyle="1">
    <w:basedOn w:val="TableNormal"/>
    <w:tblPr>
      <w:tblStyleRowBandSize w:val="1"/>
      <w:tblStyleColBandSize w:val="1"/>
      <w:tblCellMar>
        <w:left w:w="10.0" w:type="dxa"/>
        <w:right w:w="10.0" w:type="dxa"/>
      </w:tblCellMar>
    </w:tblPr>
  </w:style>
  <w:style w:type="table" w:styleId="a0" w:customStyle="1">
    <w:basedOn w:val="TableNormal"/>
    <w:tblPr>
      <w:tblStyleRowBandSize w:val="1"/>
      <w:tblStyleColBandSize w:val="1"/>
      <w:tblCellMar>
        <w:left w:w="10.0" w:type="dxa"/>
        <w:right w:w="10.0" w:type="dxa"/>
      </w:tblCellMar>
    </w:tblPr>
  </w:style>
  <w:style w:type="table" w:styleId="a1" w:customStyle="1">
    <w:basedOn w:val="TableNormal"/>
    <w:tblPr>
      <w:tblStyleRowBandSize w:val="1"/>
      <w:tblStyleColBandSize w:val="1"/>
      <w:tblCellMar>
        <w:left w:w="10.0" w:type="dxa"/>
        <w:right w:w="10.0" w:type="dxa"/>
      </w:tblCellMar>
    </w:tblPr>
  </w:style>
  <w:style w:type="table" w:styleId="a2" w:customStyle="1">
    <w:basedOn w:val="TableNormal"/>
    <w:tblPr>
      <w:tblStyleRowBandSize w:val="1"/>
      <w:tblStyleColBandSize w:val="1"/>
      <w:tblCellMar>
        <w:left w:w="10.0" w:type="dxa"/>
        <w:right w:w="10.0" w:type="dxa"/>
      </w:tblCellMar>
    </w:tblPr>
  </w:style>
  <w:style w:type="table" w:styleId="a3" w:customStyle="1">
    <w:basedOn w:val="TableNormal"/>
    <w:tblPr>
      <w:tblStyleRowBandSize w:val="1"/>
      <w:tblStyleColBandSize w:val="1"/>
      <w:tblCellMar>
        <w:left w:w="10.0" w:type="dxa"/>
        <w:right w:w="10.0" w:type="dxa"/>
      </w:tblCellMar>
    </w:tblPr>
  </w:style>
  <w:style w:type="table" w:styleId="a4" w:customStyle="1">
    <w:basedOn w:val="TableNormal"/>
    <w:tblPr>
      <w:tblStyleRowBandSize w:val="1"/>
      <w:tblStyleColBandSize w:val="1"/>
      <w:tblCellMar>
        <w:left w:w="10.0" w:type="dxa"/>
        <w:right w:w="10.0" w:type="dxa"/>
      </w:tblCellMar>
    </w:tblPr>
  </w:style>
  <w:style w:type="table" w:styleId="a5" w:customStyle="1">
    <w:basedOn w:val="TableNormal"/>
    <w:tblPr>
      <w:tblStyleRowBandSize w:val="1"/>
      <w:tblStyleColBandSize w:val="1"/>
      <w:tblCellMar>
        <w:left w:w="10.0" w:type="dxa"/>
        <w:right w:w="10.0" w:type="dxa"/>
      </w:tblCellMar>
    </w:tblPr>
  </w:style>
  <w:style w:type="table" w:styleId="a6" w:customStyle="1">
    <w:basedOn w:val="TableNormal"/>
    <w:tblPr>
      <w:tblStyleRowBandSize w:val="1"/>
      <w:tblStyleColBandSize w:val="1"/>
      <w:tblCellMar>
        <w:left w:w="10.0" w:type="dxa"/>
        <w:right w:w="10.0" w:type="dxa"/>
      </w:tblCellMar>
    </w:tblPr>
  </w:style>
  <w:style w:type="table" w:styleId="a7" w:customStyle="1">
    <w:basedOn w:val="TableNormal"/>
    <w:tblPr>
      <w:tblStyleRowBandSize w:val="1"/>
      <w:tblStyleColBandSize w:val="1"/>
      <w:tblCellMar>
        <w:left w:w="10.0" w:type="dxa"/>
        <w:right w:w="10.0" w:type="dxa"/>
      </w:tblCellMar>
    </w:tblPr>
  </w:style>
  <w:style w:type="table" w:styleId="a8" w:customStyle="1">
    <w:basedOn w:val="TableNormal"/>
    <w:tblPr>
      <w:tblStyleRowBandSize w:val="1"/>
      <w:tblStyleColBandSize w:val="1"/>
      <w:tblCellMar>
        <w:left w:w="115.0" w:type="dxa"/>
        <w:right w:w="115.0" w:type="dxa"/>
      </w:tblCellMar>
    </w:tblPr>
  </w:style>
  <w:style w:type="table" w:styleId="a9" w:customStyle="1">
    <w:basedOn w:val="TableNormal"/>
    <w:tblPr>
      <w:tblStyleRowBandSize w:val="1"/>
      <w:tblStyleColBandSize w:val="1"/>
      <w:tblCellMar>
        <w:left w:w="10.0" w:type="dxa"/>
        <w:right w:w="10.0" w:type="dxa"/>
      </w:tblCellMar>
    </w:tblPr>
  </w:style>
  <w:style w:type="table" w:styleId="aa" w:customStyle="1">
    <w:basedOn w:val="TableNormal"/>
    <w:tblPr>
      <w:tblStyleRowBandSize w:val="1"/>
      <w:tblStyleColBandSize w:val="1"/>
      <w:tblCellMar>
        <w:left w:w="10.0" w:type="dxa"/>
        <w:right w:w="10.0" w:type="dxa"/>
      </w:tblCellMar>
    </w:tblPr>
  </w:style>
  <w:style w:type="table" w:styleId="ab" w:customStyle="1">
    <w:basedOn w:val="TableNormal"/>
    <w:tblPr>
      <w:tblStyleRowBandSize w:val="1"/>
      <w:tblStyleColBandSize w:val="1"/>
      <w:tblCellMar>
        <w:left w:w="10.0" w:type="dxa"/>
        <w:right w:w="10.0" w:type="dxa"/>
      </w:tblCellMar>
    </w:tblPr>
  </w:style>
  <w:style w:type="table" w:styleId="ac" w:customStyle="1">
    <w:basedOn w:val="TableNormal"/>
    <w:tblPr>
      <w:tblStyleRowBandSize w:val="1"/>
      <w:tblStyleColBandSize w:val="1"/>
      <w:tblCellMar>
        <w:left w:w="10.0" w:type="dxa"/>
        <w:right w:w="10.0" w:type="dxa"/>
      </w:tblCellMar>
    </w:tblPr>
  </w:style>
  <w:style w:type="table" w:styleId="ad" w:customStyle="1">
    <w:basedOn w:val="TableNormal"/>
    <w:tblPr>
      <w:tblStyleRowBandSize w:val="1"/>
      <w:tblStyleColBandSize w:val="1"/>
      <w:tblCellMar>
        <w:left w:w="10.0" w:type="dxa"/>
        <w:right w:w="10.0" w:type="dxa"/>
      </w:tblCellMar>
    </w:tblPr>
  </w:style>
  <w:style w:type="table" w:styleId="ae" w:customStyle="1">
    <w:basedOn w:val="TableNormal"/>
    <w:tblPr>
      <w:tblStyleRowBandSize w:val="1"/>
      <w:tblStyleColBandSize w:val="1"/>
      <w:tblCellMar>
        <w:left w:w="10.0" w:type="dxa"/>
        <w:right w:w="10.0" w:type="dxa"/>
      </w:tblCellMar>
    </w:tblPr>
  </w:style>
  <w:style w:type="table" w:styleId="af" w:customStyle="1">
    <w:basedOn w:val="TableNormal"/>
    <w:tblPr>
      <w:tblStyleRowBandSize w:val="1"/>
      <w:tblStyleColBandSize w:val="1"/>
      <w:tblCellMar>
        <w:left w:w="10.0" w:type="dxa"/>
        <w:right w:w="10.0" w:type="dxa"/>
      </w:tblCellMar>
    </w:tblPr>
  </w:style>
  <w:style w:type="table" w:styleId="af0" w:customStyle="1">
    <w:basedOn w:val="TableNormal"/>
    <w:tblPr>
      <w:tblStyleRowBandSize w:val="1"/>
      <w:tblStyleColBandSize w:val="1"/>
      <w:tblCellMar>
        <w:left w:w="10.0" w:type="dxa"/>
        <w:right w:w="10.0" w:type="dxa"/>
      </w:tblCellMar>
    </w:tblPr>
  </w:style>
  <w:style w:type="table" w:styleId="af1" w:customStyle="1">
    <w:basedOn w:val="TableNormal"/>
    <w:tblPr>
      <w:tblStyleRowBandSize w:val="1"/>
      <w:tblStyleColBandSize w:val="1"/>
      <w:tblCellMar>
        <w:left w:w="10.0" w:type="dxa"/>
        <w:right w:w="10.0" w:type="dxa"/>
      </w:tblCellMar>
    </w:tblPr>
  </w:style>
  <w:style w:type="table" w:styleId="af2" w:customStyle="1">
    <w:basedOn w:val="TableNormal"/>
    <w:tblPr>
      <w:tblStyleRowBandSize w:val="1"/>
      <w:tblStyleColBandSize w:val="1"/>
      <w:tblCellMar>
        <w:left w:w="115.0" w:type="dxa"/>
        <w:right w:w="115.0" w:type="dxa"/>
      </w:tblCellMar>
    </w:tblPr>
  </w:style>
  <w:style w:type="paragraph" w:styleId="Subtitle">
    <w:name w:val="Subtitle"/>
    <w:basedOn w:val="Normal"/>
    <w:next w:val="Normal"/>
    <w:pPr>
      <w:widowControl w:val="0"/>
      <w:spacing w:after="60" w:line="240" w:lineRule="auto"/>
      <w:jc w:val="center"/>
    </w:pPr>
    <w:rPr>
      <w:i w:val="1"/>
      <w:iCs w:val="1"/>
      <w:color w:val="000000"/>
    </w:rPr>
  </w:style>
  <w:style w:type="table" w:styleId="Table1">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ps+m5w1J+kmD1CoFXwazFnMIxQ==">CgMxLjAyDmgucnJkOHRnMTFwZG9xOAByITFmTVJzd2tSQnBVeUhMNjFfWlpVT1dkN2Z2VmExckNRTg==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2026-08-04T12:41:00Z</dcterms:created>
  <dc:creator>Department for Education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